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C6" w:rsidRDefault="00D23CC6" w:rsidP="00D23CC6">
      <w:pPr>
        <w:tabs>
          <w:tab w:val="left" w:pos="283"/>
          <w:tab w:val="left" w:pos="8393"/>
        </w:tabs>
        <w:bidi/>
        <w:jc w:val="both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ab/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33525" cy="1047115"/>
            <wp:effectExtent l="0" t="0" r="0" b="0"/>
            <wp:wrapSquare wrapText="bothSides"/>
            <wp:docPr id="8" name="Image 2" descr="D:\mouna\t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una\t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CC6" w:rsidRDefault="00D23CC6" w:rsidP="00D23CC6">
      <w:pPr>
        <w:tabs>
          <w:tab w:val="center" w:pos="3521"/>
        </w:tabs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4A1346">
        <w:rPr>
          <w:rFonts w:ascii="Times New Roman" w:hAnsi="Times New Roman" w:cs="Simplified Arabic" w:hint="cs"/>
          <w:noProof/>
          <w:sz w:val="24"/>
          <w:szCs w:val="24"/>
          <w:vertAlign w:val="superscript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-288290</wp:posOffset>
            </wp:positionV>
            <wp:extent cx="1143000" cy="1009650"/>
            <wp:effectExtent l="0" t="0" r="0" b="0"/>
            <wp:wrapNone/>
            <wp:docPr id="9" name="صورة 2" descr="C:\Users\universite djelfa\Pictures\CkdCf6bWgAIAF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universite djelfa\Pictures\CkdCf6bWgAIAFS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br w:type="textWrapping" w:clear="all"/>
      </w:r>
    </w:p>
    <w:p w:rsidR="00D23CC6" w:rsidRDefault="00D23CC6" w:rsidP="00D23CC6">
      <w:pPr>
        <w:tabs>
          <w:tab w:val="left" w:pos="5991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A77CFA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D23CC6" w:rsidRDefault="00D23CC6" w:rsidP="00D23CC6">
      <w:pPr>
        <w:tabs>
          <w:tab w:val="left" w:pos="5991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وزارة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التعليم العالي و البحث العلمي </w:t>
      </w:r>
    </w:p>
    <w:p w:rsidR="00D23CC6" w:rsidRPr="009A5CC7" w:rsidRDefault="00D23CC6" w:rsidP="00D23CC6">
      <w:pPr>
        <w:tabs>
          <w:tab w:val="left" w:pos="3437"/>
          <w:tab w:val="center" w:pos="4536"/>
          <w:tab w:val="left" w:pos="5991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جامعة زيان عاشور الجلفة</w:t>
      </w:r>
    </w:p>
    <w:p w:rsidR="00D23CC6" w:rsidRDefault="00D23CC6" w:rsidP="00D23CC6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قسم الفنون</w:t>
      </w:r>
    </w:p>
    <w:p w:rsidR="00D23CC6" w:rsidRPr="009E4143" w:rsidRDefault="00D23CC6" w:rsidP="00D23CC6">
      <w:pPr>
        <w:tabs>
          <w:tab w:val="left" w:pos="3437"/>
          <w:tab w:val="center" w:pos="4536"/>
          <w:tab w:val="left" w:pos="5991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proofErr w:type="gramStart"/>
      <w:r w:rsidRPr="009E414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بتنسيق</w:t>
      </w:r>
      <w:proofErr w:type="gramEnd"/>
      <w:r w:rsidRPr="009E414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 مع وحدة البحث</w:t>
      </w:r>
    </w:p>
    <w:p w:rsidR="00D23CC6" w:rsidRPr="009E4143" w:rsidRDefault="00D23CC6" w:rsidP="00D23CC6">
      <w:pPr>
        <w:tabs>
          <w:tab w:val="left" w:pos="3437"/>
          <w:tab w:val="center" w:pos="4536"/>
          <w:tab w:val="left" w:pos="5991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E414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 " القراءات  </w:t>
      </w:r>
      <w:proofErr w:type="spellStart"/>
      <w:r w:rsidRPr="009E414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السيميائية</w:t>
      </w:r>
      <w:proofErr w:type="spellEnd"/>
      <w:r w:rsidRPr="009E414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  في أنساق العمل  السينمائي"</w:t>
      </w:r>
    </w:p>
    <w:p w:rsidR="00D23CC6" w:rsidRDefault="00D23CC6" w:rsidP="00D23CC6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23CC6" w:rsidRDefault="00D23CC6" w:rsidP="00D23CC6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23CC6" w:rsidRDefault="00D23CC6" w:rsidP="00D23CC6">
      <w:pPr>
        <w:tabs>
          <w:tab w:val="left" w:pos="3477"/>
          <w:tab w:val="center" w:pos="4535"/>
        </w:tabs>
        <w:bidi/>
        <w:rPr>
          <w:sz w:val="48"/>
          <w:szCs w:val="4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ينظم الملتقى الدولي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الإفتراضي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:</w:t>
      </w:r>
      <w:r w:rsidRPr="00152562">
        <w:rPr>
          <w:rFonts w:hint="cs"/>
          <w:sz w:val="36"/>
          <w:szCs w:val="36"/>
          <w:rtl/>
          <w:lang w:bidi="ar-DZ"/>
        </w:rPr>
        <w:t>حول</w:t>
      </w:r>
    </w:p>
    <w:p w:rsidR="00D23CC6" w:rsidRPr="005C30B5" w:rsidRDefault="00D23CC6" w:rsidP="00D23CC6">
      <w:pPr>
        <w:tabs>
          <w:tab w:val="left" w:pos="3477"/>
          <w:tab w:val="center" w:pos="4535"/>
        </w:tabs>
        <w:bidi/>
        <w:rPr>
          <w:b/>
          <w:bCs/>
          <w:sz w:val="48"/>
          <w:szCs w:val="48"/>
          <w:rtl/>
          <w:lang w:bidi="ar-DZ"/>
        </w:rPr>
      </w:pPr>
      <w:r w:rsidRPr="005C30B5">
        <w:rPr>
          <w:rFonts w:hint="cs"/>
          <w:b/>
          <w:bCs/>
          <w:sz w:val="48"/>
          <w:szCs w:val="48"/>
          <w:rtl/>
          <w:lang w:bidi="ar-DZ"/>
        </w:rPr>
        <w:t xml:space="preserve">الخطـــاب المرئـــــي  في  الوطن  العربي </w:t>
      </w:r>
    </w:p>
    <w:p w:rsidR="00D23CC6" w:rsidRDefault="00D23CC6" w:rsidP="00D23CC6">
      <w:pPr>
        <w:tabs>
          <w:tab w:val="left" w:pos="3477"/>
          <w:tab w:val="center" w:pos="4535"/>
        </w:tabs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( </w:t>
      </w:r>
      <w:proofErr w:type="gramStart"/>
      <w:r w:rsidRPr="005C30B5">
        <w:rPr>
          <w:rFonts w:hint="cs"/>
          <w:b/>
          <w:bCs/>
          <w:sz w:val="48"/>
          <w:szCs w:val="48"/>
          <w:rtl/>
          <w:lang w:bidi="ar-DZ"/>
        </w:rPr>
        <w:t>واقع  و</w:t>
      </w:r>
      <w:proofErr w:type="gramEnd"/>
      <w:r w:rsidRPr="005C30B5">
        <w:rPr>
          <w:rFonts w:hint="cs"/>
          <w:b/>
          <w:bCs/>
          <w:sz w:val="48"/>
          <w:szCs w:val="48"/>
          <w:rtl/>
          <w:lang w:bidi="ar-DZ"/>
        </w:rPr>
        <w:t xml:space="preserve"> آفاق</w:t>
      </w:r>
      <w:r w:rsidRPr="005C30B5">
        <w:rPr>
          <w:b/>
          <w:bCs/>
          <w:sz w:val="48"/>
          <w:szCs w:val="48"/>
          <w:rtl/>
          <w:lang w:bidi="ar-DZ"/>
        </w:rPr>
        <w:tab/>
      </w:r>
      <w:r>
        <w:rPr>
          <w:rFonts w:hint="cs"/>
          <w:b/>
          <w:bCs/>
          <w:sz w:val="48"/>
          <w:szCs w:val="48"/>
          <w:rtl/>
          <w:lang w:bidi="ar-DZ"/>
        </w:rPr>
        <w:t>)</w:t>
      </w:r>
    </w:p>
    <w:p w:rsidR="00D23CC6" w:rsidRPr="005C30B5" w:rsidRDefault="00D23CC6" w:rsidP="00D23CC6">
      <w:pPr>
        <w:tabs>
          <w:tab w:val="left" w:pos="3477"/>
          <w:tab w:val="center" w:pos="4535"/>
        </w:tabs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                     يومي 15/16  جوان 2022</w:t>
      </w:r>
    </w:p>
    <w:p w:rsidR="00D23CC6" w:rsidRDefault="00D23CC6" w:rsidP="00D23CC6">
      <w:pPr>
        <w:tabs>
          <w:tab w:val="left" w:pos="3477"/>
          <w:tab w:val="center" w:pos="4535"/>
        </w:tabs>
        <w:bidi/>
        <w:rPr>
          <w:sz w:val="48"/>
          <w:szCs w:val="48"/>
          <w:rtl/>
          <w:lang w:bidi="ar-DZ"/>
        </w:rPr>
      </w:pPr>
    </w:p>
    <w:p w:rsidR="00D23CC6" w:rsidRDefault="00D23CC6" w:rsidP="00D23CC6">
      <w:pPr>
        <w:tabs>
          <w:tab w:val="left" w:pos="3477"/>
          <w:tab w:val="center" w:pos="4535"/>
        </w:tabs>
        <w:bidi/>
        <w:rPr>
          <w:sz w:val="48"/>
          <w:szCs w:val="48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AE"/>
        </w:rPr>
        <w:t>ب</w:t>
      </w:r>
      <w:r w:rsidRPr="005C30B5">
        <w:rPr>
          <w:b/>
          <w:bCs/>
          <w:sz w:val="40"/>
          <w:szCs w:val="40"/>
          <w:rtl/>
          <w:lang w:bidi="ar-AE"/>
        </w:rPr>
        <w:t xml:space="preserve">تقنية </w:t>
      </w:r>
      <w:proofErr w:type="spellStart"/>
      <w:r w:rsidRPr="005C30B5">
        <w:rPr>
          <w:b/>
          <w:bCs/>
          <w:sz w:val="40"/>
          <w:szCs w:val="40"/>
          <w:rtl/>
          <w:lang w:bidi="ar-AE"/>
        </w:rPr>
        <w:t>التحاضر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>(</w:t>
      </w:r>
      <w:r w:rsidRPr="005C30B5">
        <w:rPr>
          <w:b/>
          <w:bCs/>
          <w:sz w:val="40"/>
          <w:szCs w:val="40"/>
          <w:rtl/>
          <w:lang w:bidi="ar-AE"/>
        </w:rPr>
        <w:t xml:space="preserve"> عن بعد</w:t>
      </w:r>
      <w:r>
        <w:rPr>
          <w:rFonts w:hint="cs"/>
          <w:b/>
          <w:bCs/>
          <w:sz w:val="40"/>
          <w:szCs w:val="40"/>
          <w:rtl/>
          <w:lang w:bidi="ar-AE"/>
        </w:rPr>
        <w:t xml:space="preserve"> و حضوريا </w:t>
      </w:r>
      <w:r>
        <w:rPr>
          <w:rFonts w:hint="cs"/>
          <w:sz w:val="48"/>
          <w:szCs w:val="48"/>
          <w:rtl/>
          <w:lang w:bidi="ar-DZ"/>
        </w:rPr>
        <w:t>)</w:t>
      </w:r>
    </w:p>
    <w:p w:rsidR="00D23CC6" w:rsidRDefault="00D23CC6" w:rsidP="00D23CC6">
      <w:pPr>
        <w:tabs>
          <w:tab w:val="left" w:pos="3477"/>
          <w:tab w:val="center" w:pos="4535"/>
        </w:tabs>
        <w:bidi/>
        <w:rPr>
          <w:sz w:val="48"/>
          <w:szCs w:val="48"/>
          <w:rtl/>
          <w:lang w:bidi="ar-DZ"/>
        </w:rPr>
      </w:pPr>
    </w:p>
    <w:p w:rsidR="00D23CC6" w:rsidRDefault="00D23CC6" w:rsidP="00D23CC6">
      <w:pPr>
        <w:tabs>
          <w:tab w:val="left" w:pos="3477"/>
          <w:tab w:val="center" w:pos="4535"/>
        </w:tabs>
        <w:bidi/>
        <w:rPr>
          <w:sz w:val="48"/>
          <w:szCs w:val="48"/>
          <w:rtl/>
          <w:lang w:bidi="ar-DZ"/>
        </w:rPr>
      </w:pPr>
    </w:p>
    <w:p w:rsidR="00D23CC6" w:rsidRPr="005D1C74" w:rsidRDefault="00D23CC6" w:rsidP="00D23CC6">
      <w:pPr>
        <w:tabs>
          <w:tab w:val="left" w:pos="3477"/>
          <w:tab w:val="center" w:pos="4535"/>
        </w:tabs>
        <w:bidi/>
        <w:rPr>
          <w:sz w:val="44"/>
          <w:szCs w:val="44"/>
          <w:rtl/>
          <w:lang w:bidi="ar-DZ"/>
        </w:rPr>
      </w:pPr>
    </w:p>
    <w:p w:rsidR="00D23CC6" w:rsidRPr="00E65CAF" w:rsidRDefault="00D23CC6" w:rsidP="00D23CC6">
      <w:pPr>
        <w:bidi/>
        <w:spacing w:after="0" w:line="240" w:lineRule="auto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  <w:proofErr w:type="gramStart"/>
      <w:r w:rsidRPr="00E65CAF"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>الديباجة</w:t>
      </w:r>
      <w:proofErr w:type="gramEnd"/>
      <w:r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:</w:t>
      </w:r>
    </w:p>
    <w:p w:rsidR="00D23CC6" w:rsidRDefault="00D23CC6" w:rsidP="00D23CC6">
      <w:pPr>
        <w:bidi/>
        <w:spacing w:after="0" w:line="360" w:lineRule="auto"/>
        <w:jc w:val="lowKashida"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ي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مثل الخطاب </w:t>
      </w:r>
      <w:proofErr w:type="gramStart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>المرئي  كوسيلة</w:t>
      </w:r>
      <w:proofErr w:type="gramEnd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 اتصال  مسموعة  أو مقروءة  .  </w:t>
      </w:r>
      <w:proofErr w:type="gramStart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>سلطة  مهمة و مؤث</w:t>
      </w:r>
      <w:proofErr w:type="gramEnd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رة  في صياغة  وعي  المجتمعات . وتشكيل  تصوراتها  و انطباعاتها  عن الأحداث  و القضايا </w:t>
      </w:r>
    </w:p>
    <w:p w:rsidR="00D23CC6" w:rsidRPr="009A62B3" w:rsidRDefault="00D23CC6" w:rsidP="00D23CC6">
      <w:pPr>
        <w:bidi/>
        <w:spacing w:after="0" w:line="360" w:lineRule="auto"/>
        <w:jc w:val="lowKashida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و المجتمعات  </w:t>
      </w:r>
      <w:proofErr w:type="spellStart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>الأخرىو</w:t>
      </w:r>
      <w:proofErr w:type="spellEnd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تبرز  أهميته  مع تنامي  دور   وسائل الاتصال و تطور  تقنياتها  التي  مكنت  من إيصال  الخطاب  إلى فئات  الجمهور  المختلفة  بهدف  </w:t>
      </w:r>
      <w:proofErr w:type="spellStart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>التأثيرو</w:t>
      </w:r>
      <w:proofErr w:type="spellEnd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السيطرة  على  آرائها .</w:t>
      </w:r>
    </w:p>
    <w:p w:rsidR="00D23CC6" w:rsidRPr="009A62B3" w:rsidRDefault="00D23CC6" w:rsidP="00D23CC6">
      <w:pPr>
        <w:bidi/>
        <w:spacing w:after="0" w:line="360" w:lineRule="auto"/>
        <w:ind w:firstLine="567"/>
        <w:jc w:val="lowKashida"/>
        <w:rPr>
          <w:rFonts w:asciiTheme="majorBidi" w:hAnsiTheme="majorBidi" w:cstheme="majorBidi"/>
          <w:sz w:val="40"/>
          <w:szCs w:val="40"/>
          <w:rtl/>
          <w:lang w:bidi="ar-DZ"/>
        </w:rPr>
      </w:pPr>
      <w:proofErr w:type="gramStart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>فالخطاب  و</w:t>
      </w:r>
      <w:proofErr w:type="gramEnd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الصورة  يكونا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ن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نسقا  تفاعليا  متشابكا  مع الكثير  من العلوم  الإنسانية  و التقنية 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حيث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 تحدد رؤية  الفرد  نحو  العال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م  و طبيعة  علاقاته  الا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جتماعية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.</w:t>
      </w:r>
    </w:p>
    <w:p w:rsidR="00D23CC6" w:rsidRPr="009A62B3" w:rsidRDefault="00D23CC6" w:rsidP="00D23CC6">
      <w:pPr>
        <w:bidi/>
        <w:spacing w:after="0" w:line="360" w:lineRule="auto"/>
        <w:ind w:firstLine="567"/>
        <w:jc w:val="lowKashida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و في  هذا  السياق  نريد  توضيح الدور الذي  يلعبه  الخطاب  المرئي  في الوطن العربي  بمختلف  أشكاله (الإعلام و الاتصال </w:t>
      </w:r>
      <w:r w:rsidRPr="009A62B3">
        <w:rPr>
          <w:rFonts w:asciiTheme="majorBidi" w:hAnsiTheme="majorBidi" w:cstheme="majorBidi"/>
          <w:sz w:val="40"/>
          <w:szCs w:val="40"/>
          <w:rtl/>
          <w:lang w:bidi="ar-DZ"/>
        </w:rPr>
        <w:t>–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الفنون  من سينما  و مسرح  و أعمال تشكيلية ).</w:t>
      </w:r>
    </w:p>
    <w:p w:rsidR="00D23CC6" w:rsidRPr="00E65CAF" w:rsidRDefault="00D23CC6" w:rsidP="00D23CC6">
      <w:pPr>
        <w:bidi/>
        <w:spacing w:after="0"/>
        <w:jc w:val="lowKashida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23CC6" w:rsidRDefault="00D23CC6" w:rsidP="00D23CC6">
      <w:pPr>
        <w:bidi/>
        <w:spacing w:after="0" w:line="240" w:lineRule="auto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  <w:proofErr w:type="gramStart"/>
      <w:r w:rsidRPr="00E65CAF"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>الإشكالية</w:t>
      </w:r>
      <w:proofErr w:type="gramEnd"/>
      <w:r w:rsidRPr="00E65CAF"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>:</w:t>
      </w:r>
    </w:p>
    <w:p w:rsidR="00D23CC6" w:rsidRPr="009A62B3" w:rsidRDefault="00D23CC6" w:rsidP="00D23CC6">
      <w:pPr>
        <w:bidi/>
        <w:spacing w:after="0" w:line="360" w:lineRule="auto"/>
        <w:jc w:val="both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تجلت  أهمية  بصمات الخطاب  المرئي  من خلال  الأنشطة  الاتصالية  التي تتضمنها  الرسائل  التلفزيونية 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المقدمة 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للمشاهدين  عبر  قوالب و أشكال  فنية  متنوعة  تتسم   بالإثارة  و التشويق لإرسال  رسائل  ذات  أبعاد دلالية  </w:t>
      </w:r>
      <w:proofErr w:type="spellStart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>سيميائية</w:t>
      </w:r>
      <w:proofErr w:type="spellEnd"/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.</w:t>
      </w:r>
    </w:p>
    <w:p w:rsidR="00D23CC6" w:rsidRPr="009A62B3" w:rsidRDefault="00D23CC6" w:rsidP="00D23CC6">
      <w:pPr>
        <w:bidi/>
        <w:spacing w:after="0" w:line="360" w:lineRule="auto"/>
        <w:jc w:val="both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lastRenderedPageBreak/>
        <w:t xml:space="preserve"> و من  خلال  هذا  نريد  توضيح  الدور  الذي  يلعبه  الفن  بمختلف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أشكاله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>( الفن التشكيلي ، المسرح ، السينما ، الموسيقى، الفنون الشعبية ) داخل المجتمع   و من خ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لال  هذا المنطلق نطرح  النقاط</w:t>
      </w:r>
      <w:r w:rsidRPr="009A62B3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 التالية :</w:t>
      </w:r>
    </w:p>
    <w:p w:rsidR="00D23CC6" w:rsidRPr="009A62B3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1/دور  الخطاب المرئي  بالقنوات  الفضائية  في تشكيل  صورة  عن المجتمعات  العربية  لدى  الجمهور.</w:t>
      </w:r>
    </w:p>
    <w:p w:rsidR="00D23CC6" w:rsidRPr="009A62B3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proofErr w:type="gramStart"/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2/كيفية  تطبيق</w:t>
      </w:r>
      <w:proofErr w:type="gramEnd"/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 مناهج  تحليل  الخطاب  في مجال علوم  الإعلام و الاتصال.</w:t>
      </w:r>
    </w:p>
    <w:p w:rsidR="00D23CC6" w:rsidRPr="009A62B3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3/ مكانة  تحليل  الخطاب  المرئي  في الوطن  العربي.</w:t>
      </w:r>
    </w:p>
    <w:p w:rsidR="00D23CC6" w:rsidRPr="003567B1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4/علاقة  الخطاب  المرئي في زيادة  الوعي  الاجتماعي  و  الثقافي  بين أفراد المجتمع.</w:t>
      </w:r>
    </w:p>
    <w:p w:rsidR="00D23CC6" w:rsidRPr="00BB5A40" w:rsidRDefault="00D23CC6" w:rsidP="00D23CC6">
      <w:pPr>
        <w:pStyle w:val="Paragraphedeliste"/>
        <w:numPr>
          <w:ilvl w:val="0"/>
          <w:numId w:val="1"/>
        </w:num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b/>
          <w:bCs/>
          <w:sz w:val="40"/>
          <w:szCs w:val="40"/>
          <w:rtl/>
          <w:lang w:bidi="ar-DZ"/>
        </w:rPr>
      </w:pPr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u w:val="single"/>
          <w:rtl/>
          <w:lang w:bidi="ar-DZ"/>
        </w:rPr>
        <w:t>أهداف  الملتقى</w:t>
      </w:r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:</w:t>
      </w:r>
    </w:p>
    <w:p w:rsidR="00D23CC6" w:rsidRPr="009A62B3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1/البحث  عن دور  الخطاب  المرئي  في الوطن العربي في بناء  المجتمعات العربية .</w:t>
      </w:r>
    </w:p>
    <w:p w:rsidR="00D23CC6" w:rsidRPr="009A62B3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2/قراءة  تحليلية  لاتجاهات الخطاب  المرئي  في الثقافة  العربية.</w:t>
      </w:r>
    </w:p>
    <w:p w:rsidR="00D23CC6" w:rsidRPr="009A62B3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3/ </w:t>
      </w:r>
      <w:proofErr w:type="spellStart"/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الكشفعن</w:t>
      </w:r>
      <w:proofErr w:type="spellEnd"/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إسها</w:t>
      </w: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م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ات</w:t>
      </w: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الاتصال</w:t>
      </w:r>
      <w:proofErr w:type="spellEnd"/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و الإعلام  في التعبير  الحقيقي عن المجتمع.</w:t>
      </w:r>
    </w:p>
    <w:p w:rsidR="00D23CC6" w:rsidRPr="009A62B3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9A62B3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4/توظيف  الخطاب  المرئي  في سرد  مسيرة  الحياة الاجتماعية  و زيادة  الوعي  الاجتماعي.</w:t>
      </w:r>
    </w:p>
    <w:p w:rsidR="00D23CC6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b/>
          <w:bCs/>
          <w:sz w:val="40"/>
          <w:szCs w:val="40"/>
          <w:u w:val="single"/>
          <w:rtl/>
          <w:lang w:bidi="ar-DZ"/>
        </w:rPr>
      </w:pPr>
      <w:r>
        <w:rPr>
          <w:rFonts w:asciiTheme="majorBidi" w:eastAsiaTheme="minorHAnsi" w:hAnsiTheme="majorBidi" w:cstheme="majorBidi" w:hint="cs"/>
          <w:b/>
          <w:bCs/>
          <w:sz w:val="40"/>
          <w:szCs w:val="40"/>
          <w:u w:val="single"/>
          <w:rtl/>
          <w:lang w:bidi="ar-DZ"/>
        </w:rPr>
        <w:t>محاور  الملتقى</w:t>
      </w:r>
      <w:r w:rsidRPr="00F45B65">
        <w:rPr>
          <w:rFonts w:asciiTheme="majorBidi" w:eastAsiaTheme="minorHAnsi" w:hAnsiTheme="majorBidi" w:cstheme="majorBidi" w:hint="cs"/>
          <w:b/>
          <w:bCs/>
          <w:sz w:val="40"/>
          <w:szCs w:val="40"/>
          <w:u w:val="single"/>
          <w:rtl/>
          <w:lang w:bidi="ar-DZ"/>
        </w:rPr>
        <w:t>:</w:t>
      </w:r>
    </w:p>
    <w:p w:rsidR="00D23CC6" w:rsidRPr="00F45B65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proofErr w:type="gramStart"/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1/  </w:t>
      </w:r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المحور</w:t>
      </w:r>
      <w:proofErr w:type="gramEnd"/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 xml:space="preserve"> الأول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: الإعلام  و الاتصال  و المجتمع</w:t>
      </w: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.</w:t>
      </w:r>
    </w:p>
    <w:p w:rsidR="00D23CC6" w:rsidRPr="00F45B65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2/</w:t>
      </w:r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 xml:space="preserve">المحور </w:t>
      </w:r>
      <w:proofErr w:type="gramStart"/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الثاني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:</w:t>
      </w:r>
      <w:proofErr w:type="gramEnd"/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الخطاب  المرئي العربي  في ضوء المحطات  التاريخية</w:t>
      </w: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.</w:t>
      </w:r>
    </w:p>
    <w:p w:rsidR="00D23CC6" w:rsidRPr="00F45B65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3/</w:t>
      </w:r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 xml:space="preserve">المحور </w:t>
      </w:r>
      <w:proofErr w:type="gramStart"/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الثالث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:</w:t>
      </w:r>
      <w:proofErr w:type="gramEnd"/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أثر الخطاب  المرئي   في  الوطن  العربي و الدولي </w:t>
      </w: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.</w:t>
      </w:r>
    </w:p>
    <w:p w:rsidR="00D23CC6" w:rsidRPr="00F45B65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4/</w:t>
      </w:r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 xml:space="preserve">المحور </w:t>
      </w:r>
      <w:proofErr w:type="gramStart"/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الرابع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:</w:t>
      </w:r>
      <w:proofErr w:type="gramEnd"/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انعكاسات الخطاب  المرئي على الفرد  و المجتمع</w:t>
      </w: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.</w:t>
      </w:r>
    </w:p>
    <w:p w:rsidR="00D23CC6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lastRenderedPageBreak/>
        <w:t xml:space="preserve">5/ </w:t>
      </w:r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 xml:space="preserve">المحور </w:t>
      </w:r>
      <w:proofErr w:type="gramStart"/>
      <w:r w:rsidRPr="00BB5A4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الخامس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:</w:t>
      </w:r>
      <w:proofErr w:type="gramEnd"/>
      <w:r w:rsidRPr="00F45B65"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الفن  و ضرورته  للإنسان (ثقافة ووجهة  نظره).</w:t>
      </w:r>
    </w:p>
    <w:p w:rsidR="00D23CC6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6/</w:t>
      </w:r>
      <w:proofErr w:type="gramStart"/>
      <w:r w:rsidRPr="00D93739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المحور</w:t>
      </w:r>
      <w:proofErr w:type="gramEnd"/>
      <w:r w:rsidRPr="00D93739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 xml:space="preserve"> السادس: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مكانة الخطاب المرئي في إثراء الفنون الشعبية.</w:t>
      </w:r>
    </w:p>
    <w:p w:rsidR="00D23CC6" w:rsidRDefault="00D23CC6" w:rsidP="00D23CC6">
      <w:pPr>
        <w:tabs>
          <w:tab w:val="left" w:pos="7031"/>
        </w:tabs>
        <w:bidi/>
        <w:spacing w:line="240" w:lineRule="auto"/>
        <w:jc w:val="both"/>
        <w:rPr>
          <w:rFonts w:asciiTheme="majorBidi" w:eastAsiaTheme="minorHAnsi" w:hAnsiTheme="majorBidi" w:cstheme="majorBidi"/>
          <w:sz w:val="40"/>
          <w:szCs w:val="40"/>
          <w:rtl/>
          <w:lang w:bidi="ar-DZ"/>
        </w:rPr>
      </w:pP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7/ </w:t>
      </w:r>
      <w:r w:rsidRPr="00D93739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bidi="ar-DZ"/>
        </w:rPr>
        <w:t>المحور السابع:</w:t>
      </w:r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الخطاب المرئي و </w:t>
      </w:r>
      <w:proofErr w:type="spellStart"/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>الإنتاجات</w:t>
      </w:r>
      <w:proofErr w:type="spellEnd"/>
      <w:r>
        <w:rPr>
          <w:rFonts w:asciiTheme="majorBidi" w:eastAsiaTheme="minorHAnsi" w:hAnsiTheme="majorBidi" w:cstheme="majorBidi" w:hint="cs"/>
          <w:sz w:val="40"/>
          <w:szCs w:val="40"/>
          <w:rtl/>
          <w:lang w:bidi="ar-DZ"/>
        </w:rPr>
        <w:t xml:space="preserve"> الفنية.</w:t>
      </w:r>
    </w:p>
    <w:p w:rsidR="00D23CC6" w:rsidRPr="00D93739" w:rsidRDefault="00D23CC6" w:rsidP="00D23CC6">
      <w:pPr>
        <w:tabs>
          <w:tab w:val="left" w:pos="7031"/>
        </w:tabs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u w:val="single"/>
          <w:lang w:bidi="ar-DZ"/>
        </w:rPr>
      </w:pPr>
      <w:r w:rsidRPr="00D93739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  <w:t>القواعد و الشروط  الخاصة بالمشاركة:</w:t>
      </w:r>
    </w:p>
    <w:p w:rsidR="00D23CC6" w:rsidRPr="00310004" w:rsidRDefault="00D23CC6" w:rsidP="00D23CC6">
      <w:pPr>
        <w:tabs>
          <w:tab w:val="left" w:pos="7031"/>
        </w:tabs>
        <w:bidi/>
        <w:spacing w:line="360" w:lineRule="auto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1. يجب أن تحمل  الصفحة الأولى :الاسم الكامل للباحث (ة)، الوظيفة و الرتبة ، و الجامعة ، و رقم الهاتف و </w:t>
      </w:r>
      <w:proofErr w:type="spellStart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>الإيميل</w:t>
      </w:r>
      <w:proofErr w:type="spellEnd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>، و المحور و عنوان الدراسة البحثية.</w:t>
      </w:r>
    </w:p>
    <w:p w:rsidR="00D23CC6" w:rsidRPr="00310004" w:rsidRDefault="00D23CC6" w:rsidP="00D23CC6">
      <w:pPr>
        <w:tabs>
          <w:tab w:val="left" w:pos="7031"/>
        </w:tabs>
        <w:bidi/>
        <w:spacing w:line="360" w:lineRule="auto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310004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2</w:t>
      </w:r>
      <w:r>
        <w:rPr>
          <w:rFonts w:asciiTheme="majorBidi" w:hAnsiTheme="majorBidi" w:cstheme="majorBidi"/>
          <w:sz w:val="40"/>
          <w:szCs w:val="40"/>
          <w:rtl/>
          <w:lang w:bidi="ar-DZ"/>
        </w:rPr>
        <w:t xml:space="preserve">. أن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ي</w:t>
      </w:r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نتمي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موضوع </w:t>
      </w:r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>المداخلة إلى أحد محا</w:t>
      </w:r>
      <w:proofErr w:type="gramStart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>ور الملتقى</w:t>
      </w:r>
      <w:proofErr w:type="gramEnd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  و أن  تستوفى الشروط العلمية المتعارف عليها .</w:t>
      </w:r>
    </w:p>
    <w:p w:rsidR="00D23CC6" w:rsidRPr="00310004" w:rsidRDefault="00D23CC6" w:rsidP="00D23CC6">
      <w:pPr>
        <w:tabs>
          <w:tab w:val="left" w:pos="7031"/>
        </w:tabs>
        <w:bidi/>
        <w:spacing w:line="360" w:lineRule="auto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310004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3</w:t>
      </w:r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. </w:t>
      </w:r>
      <w:proofErr w:type="gramStart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>ألا</w:t>
      </w:r>
      <w:proofErr w:type="gramEnd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 يكون قد سبق المشاركة </w:t>
      </w:r>
      <w:proofErr w:type="spellStart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>بها</w:t>
      </w:r>
      <w:proofErr w:type="spellEnd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 في أي ملتقى سابق أو تم نشرها في مجلة علمية.</w:t>
      </w:r>
    </w:p>
    <w:p w:rsidR="00D23CC6" w:rsidRPr="00310004" w:rsidRDefault="00D23CC6" w:rsidP="00D23CC6">
      <w:pPr>
        <w:tabs>
          <w:tab w:val="left" w:pos="7031"/>
        </w:tabs>
        <w:bidi/>
        <w:spacing w:line="360" w:lineRule="auto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310004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4</w:t>
      </w:r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.  تحرر الدراسة البحثية  باللغة العربية أو الفرنسية أو الإنجليزية ببرنامج </w:t>
      </w:r>
      <w:r w:rsidRPr="00310004">
        <w:rPr>
          <w:rFonts w:asciiTheme="majorBidi" w:hAnsiTheme="majorBidi" w:cstheme="majorBidi"/>
          <w:sz w:val="40"/>
          <w:szCs w:val="40"/>
          <w:lang w:bidi="ar-DZ"/>
        </w:rPr>
        <w:t>Word</w:t>
      </w:r>
      <w:r>
        <w:rPr>
          <w:rFonts w:asciiTheme="majorBidi" w:hAnsiTheme="majorBidi" w:cstheme="majorBidi"/>
          <w:sz w:val="40"/>
          <w:szCs w:val="40"/>
          <w:rtl/>
          <w:lang w:bidi="ar-DZ"/>
        </w:rPr>
        <w:t xml:space="preserve">،على </w:t>
      </w:r>
      <w:proofErr w:type="spellStart"/>
      <w:r>
        <w:rPr>
          <w:rFonts w:asciiTheme="majorBidi" w:hAnsiTheme="majorBidi" w:cstheme="majorBidi"/>
          <w:sz w:val="40"/>
          <w:szCs w:val="40"/>
          <w:rtl/>
          <w:lang w:bidi="ar-DZ"/>
        </w:rPr>
        <w:t>أ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لآ</w:t>
      </w:r>
      <w:proofErr w:type="spellEnd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 تزيد صفحات البحث عن   20 صفحة ، و ألا تقل  عن 15  صفحة بما في  ذلك قائمة  المصادر و المراجع. </w:t>
      </w:r>
    </w:p>
    <w:p w:rsidR="00D23CC6" w:rsidRPr="00310004" w:rsidRDefault="00D23CC6" w:rsidP="00D23CC6">
      <w:pPr>
        <w:tabs>
          <w:tab w:val="left" w:pos="7031"/>
        </w:tabs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310004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5</w:t>
      </w:r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.  تنشر أعمال الملتقى في كتاب جماعي </w:t>
      </w:r>
      <w:proofErr w:type="gramStart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>يحمل</w:t>
      </w:r>
      <w:proofErr w:type="gramEnd"/>
      <w:r w:rsidRPr="00310004">
        <w:rPr>
          <w:rFonts w:asciiTheme="majorBidi" w:hAnsiTheme="majorBidi" w:cstheme="majorBidi"/>
          <w:sz w:val="40"/>
          <w:szCs w:val="40"/>
          <w:rtl/>
          <w:lang w:bidi="ar-DZ"/>
        </w:rPr>
        <w:t xml:space="preserve"> أسماء مؤلفيه.</w:t>
      </w:r>
    </w:p>
    <w:p w:rsidR="00D23CC6" w:rsidRPr="00B520C0" w:rsidRDefault="00D23CC6" w:rsidP="00D23CC6">
      <w:pPr>
        <w:tabs>
          <w:tab w:val="left" w:pos="7031"/>
        </w:tabs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310004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انعقاد الملتقى  يومي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15/16جوان </w:t>
      </w:r>
      <w:r w:rsidRPr="00310004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202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2</w:t>
      </w:r>
      <w:r w:rsidRPr="00310004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عن طريق تطبيق </w:t>
      </w:r>
      <w:r w:rsidRPr="00310004">
        <w:rPr>
          <w:rFonts w:asciiTheme="majorBidi" w:hAnsiTheme="majorBidi" w:cstheme="majorBidi"/>
          <w:b/>
          <w:bCs/>
          <w:sz w:val="40"/>
          <w:szCs w:val="40"/>
          <w:lang w:bidi="ar-DZ"/>
        </w:rPr>
        <w:t>ZOOM</w:t>
      </w:r>
    </w:p>
    <w:p w:rsidR="002E7D23" w:rsidRDefault="002E7D23">
      <w:pPr>
        <w:rPr>
          <w:lang w:bidi="ar-DZ"/>
        </w:rPr>
      </w:pPr>
    </w:p>
    <w:sectPr w:rsidR="002E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A12"/>
    <w:multiLevelType w:val="hybridMultilevel"/>
    <w:tmpl w:val="4442FD0C"/>
    <w:lvl w:ilvl="0" w:tplc="E3421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D23CC6"/>
    <w:rsid w:val="002E7D23"/>
    <w:rsid w:val="00D2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CC6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2022-05-19T08:02:00Z</dcterms:created>
  <dcterms:modified xsi:type="dcterms:W3CDTF">2022-05-19T08:04:00Z</dcterms:modified>
</cp:coreProperties>
</file>